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DC0" w:rsidRPr="003E102A" w:rsidRDefault="00500DC0" w:rsidP="00500DC0">
      <w:pPr>
        <w:spacing w:line="240" w:lineRule="auto"/>
        <w:jc w:val="center"/>
        <w:rPr>
          <w:b/>
          <w:color w:val="auto"/>
          <w:sz w:val="36"/>
          <w:szCs w:val="28"/>
        </w:rPr>
      </w:pPr>
      <w:bookmarkStart w:id="0" w:name="_GoBack"/>
      <w:bookmarkEnd w:id="0"/>
      <w:r w:rsidRPr="003E102A">
        <w:rPr>
          <w:b/>
          <w:color w:val="auto"/>
          <w:sz w:val="36"/>
          <w:szCs w:val="28"/>
        </w:rPr>
        <w:t xml:space="preserve">Администрация поселения Московский </w:t>
      </w:r>
    </w:p>
    <w:p w:rsidR="00500DC0" w:rsidRPr="003E102A" w:rsidRDefault="00500DC0" w:rsidP="00500DC0">
      <w:pPr>
        <w:spacing w:line="240" w:lineRule="auto"/>
        <w:jc w:val="center"/>
        <w:rPr>
          <w:b/>
          <w:color w:val="auto"/>
          <w:sz w:val="36"/>
          <w:szCs w:val="28"/>
        </w:rPr>
      </w:pPr>
      <w:r w:rsidRPr="003E102A">
        <w:rPr>
          <w:b/>
          <w:color w:val="auto"/>
          <w:sz w:val="36"/>
          <w:szCs w:val="28"/>
        </w:rPr>
        <w:t>Отдел территориальной безопасности и гражданской обороны</w:t>
      </w:r>
    </w:p>
    <w:p w:rsidR="00500DC0" w:rsidRPr="00500DC0" w:rsidRDefault="00500DC0" w:rsidP="00500DC0">
      <w:pPr>
        <w:spacing w:line="240" w:lineRule="auto"/>
        <w:jc w:val="center"/>
        <w:rPr>
          <w:color w:val="auto"/>
          <w:sz w:val="28"/>
          <w:szCs w:val="28"/>
        </w:rPr>
      </w:pPr>
      <w:r w:rsidRPr="00500DC0">
        <w:rPr>
          <w:color w:val="auto"/>
          <w:sz w:val="28"/>
          <w:szCs w:val="28"/>
        </w:rPr>
        <w:t>108811, г. Москва, г. Московский, мкр.1, д.19а</w:t>
      </w:r>
    </w:p>
    <w:p w:rsidR="00500DC0" w:rsidRPr="00500DC0" w:rsidRDefault="00500DC0" w:rsidP="00500DC0">
      <w:pPr>
        <w:spacing w:line="240" w:lineRule="auto"/>
        <w:jc w:val="center"/>
        <w:rPr>
          <w:color w:val="auto"/>
          <w:sz w:val="28"/>
          <w:szCs w:val="28"/>
        </w:rPr>
      </w:pPr>
      <w:r w:rsidRPr="00500DC0">
        <w:rPr>
          <w:color w:val="auto"/>
          <w:sz w:val="28"/>
          <w:szCs w:val="28"/>
        </w:rPr>
        <w:t xml:space="preserve"> телефон: 8(495)841-81-47, 8 (495) 841-80-80, 8 (910) 001-25-38</w:t>
      </w:r>
    </w:p>
    <w:p w:rsidR="00500DC0" w:rsidRPr="00500DC0" w:rsidRDefault="00500DC0" w:rsidP="00500DC0">
      <w:pPr>
        <w:pBdr>
          <w:bottom w:val="single" w:sz="12" w:space="1" w:color="auto"/>
        </w:pBdr>
        <w:tabs>
          <w:tab w:val="center" w:pos="4677"/>
          <w:tab w:val="right" w:pos="9354"/>
        </w:tabs>
        <w:spacing w:line="240" w:lineRule="auto"/>
        <w:jc w:val="center"/>
        <w:rPr>
          <w:color w:val="auto"/>
          <w:sz w:val="28"/>
          <w:szCs w:val="28"/>
        </w:rPr>
      </w:pPr>
      <w:r w:rsidRPr="00500DC0">
        <w:rPr>
          <w:color w:val="auto"/>
          <w:sz w:val="28"/>
          <w:szCs w:val="28"/>
          <w:lang w:val="en-US"/>
        </w:rPr>
        <w:t>E</w:t>
      </w:r>
      <w:r w:rsidRPr="00500DC0">
        <w:rPr>
          <w:color w:val="auto"/>
          <w:sz w:val="28"/>
          <w:szCs w:val="28"/>
        </w:rPr>
        <w:t>-</w:t>
      </w:r>
      <w:r w:rsidRPr="00500DC0">
        <w:rPr>
          <w:color w:val="auto"/>
          <w:sz w:val="28"/>
          <w:szCs w:val="28"/>
          <w:lang w:val="en-US"/>
        </w:rPr>
        <w:t>mail</w:t>
      </w:r>
      <w:r w:rsidRPr="00500DC0">
        <w:rPr>
          <w:color w:val="auto"/>
          <w:sz w:val="28"/>
          <w:szCs w:val="28"/>
        </w:rPr>
        <w:t xml:space="preserve">: </w:t>
      </w:r>
      <w:proofErr w:type="spellStart"/>
      <w:r w:rsidRPr="00500DC0">
        <w:rPr>
          <w:color w:val="auto"/>
          <w:sz w:val="28"/>
          <w:szCs w:val="28"/>
          <w:lang w:val="en-US"/>
        </w:rPr>
        <w:t>gochs</w:t>
      </w:r>
      <w:proofErr w:type="spellEnd"/>
      <w:r w:rsidRPr="00500DC0">
        <w:rPr>
          <w:color w:val="auto"/>
          <w:sz w:val="28"/>
          <w:szCs w:val="28"/>
        </w:rPr>
        <w:t>@</w:t>
      </w:r>
      <w:proofErr w:type="spellStart"/>
      <w:r w:rsidRPr="00500DC0">
        <w:rPr>
          <w:color w:val="auto"/>
          <w:sz w:val="28"/>
          <w:szCs w:val="28"/>
          <w:lang w:val="en-US"/>
        </w:rPr>
        <w:t>adm</w:t>
      </w:r>
      <w:proofErr w:type="spellEnd"/>
      <w:r w:rsidRPr="00500DC0">
        <w:rPr>
          <w:color w:val="auto"/>
          <w:sz w:val="28"/>
          <w:szCs w:val="28"/>
        </w:rPr>
        <w:t>-</w:t>
      </w:r>
      <w:proofErr w:type="spellStart"/>
      <w:r w:rsidRPr="00500DC0">
        <w:rPr>
          <w:color w:val="auto"/>
          <w:sz w:val="28"/>
          <w:szCs w:val="28"/>
          <w:lang w:val="en-US"/>
        </w:rPr>
        <w:t>moskovsky</w:t>
      </w:r>
      <w:proofErr w:type="spellEnd"/>
      <w:r w:rsidRPr="00500DC0">
        <w:rPr>
          <w:color w:val="auto"/>
          <w:sz w:val="28"/>
          <w:szCs w:val="28"/>
        </w:rPr>
        <w:t>.</w:t>
      </w:r>
      <w:proofErr w:type="spellStart"/>
      <w:r w:rsidRPr="00500DC0">
        <w:rPr>
          <w:color w:val="auto"/>
          <w:sz w:val="28"/>
          <w:szCs w:val="28"/>
          <w:lang w:val="en-US"/>
        </w:rPr>
        <w:t>ru</w:t>
      </w:r>
      <w:proofErr w:type="spellEnd"/>
    </w:p>
    <w:p w:rsidR="00500DC0" w:rsidRDefault="00500DC0">
      <w:pPr>
        <w:pStyle w:val="1"/>
        <w:ind w:left="1077" w:right="1073"/>
      </w:pPr>
    </w:p>
    <w:p w:rsidR="0062087B" w:rsidRPr="0062087B" w:rsidRDefault="0062087B" w:rsidP="0062087B">
      <w:pPr>
        <w:pStyle w:val="a4"/>
        <w:shd w:val="clear" w:color="auto" w:fill="FFFFFF"/>
        <w:spacing w:before="0" w:beforeAutospacing="0" w:after="60" w:afterAutospacing="0"/>
        <w:jc w:val="center"/>
        <w:rPr>
          <w:b/>
          <w:bCs/>
          <w:color w:val="FF0000"/>
          <w:sz w:val="36"/>
          <w:szCs w:val="21"/>
        </w:rPr>
      </w:pPr>
      <w:r w:rsidRPr="0062087B">
        <w:rPr>
          <w:b/>
          <w:bCs/>
          <w:color w:val="FF0000"/>
          <w:sz w:val="36"/>
          <w:szCs w:val="21"/>
        </w:rPr>
        <w:t>Памятка по правилам устройства заземления и молниезащиты.</w:t>
      </w:r>
    </w:p>
    <w:p w:rsidR="0062087B" w:rsidRPr="0062087B" w:rsidRDefault="0062087B" w:rsidP="0062087B">
      <w:pPr>
        <w:pStyle w:val="a4"/>
        <w:shd w:val="clear" w:color="auto" w:fill="FFFFFF"/>
        <w:spacing w:before="0" w:beforeAutospacing="0" w:after="60" w:afterAutospacing="0"/>
        <w:jc w:val="center"/>
        <w:rPr>
          <w:color w:val="505050"/>
          <w:sz w:val="36"/>
          <w:szCs w:val="21"/>
        </w:rPr>
      </w:pPr>
    </w:p>
    <w:p w:rsidR="0062087B" w:rsidRPr="0062087B" w:rsidRDefault="0062087B" w:rsidP="0062087B">
      <w:pPr>
        <w:pStyle w:val="a4"/>
        <w:shd w:val="clear" w:color="auto" w:fill="FFFFFF"/>
        <w:spacing w:before="0" w:beforeAutospacing="0" w:after="60" w:afterAutospacing="0"/>
        <w:jc w:val="both"/>
        <w:rPr>
          <w:szCs w:val="21"/>
        </w:rPr>
      </w:pPr>
      <w:r w:rsidRPr="0062087B">
        <w:rPr>
          <w:b/>
          <w:szCs w:val="21"/>
        </w:rPr>
        <w:t>Заземление</w:t>
      </w:r>
      <w:r w:rsidRPr="0062087B">
        <w:rPr>
          <w:szCs w:val="21"/>
        </w:rPr>
        <w:t xml:space="preserve"> — преднамеренное электрическое соединение какой-либо точки сети, электроустановки или оборудования с заземляющим устройством.</w:t>
      </w:r>
    </w:p>
    <w:p w:rsidR="0062087B" w:rsidRPr="0062087B" w:rsidRDefault="0062087B" w:rsidP="0062087B">
      <w:pPr>
        <w:pStyle w:val="a4"/>
        <w:shd w:val="clear" w:color="auto" w:fill="FFFFFF"/>
        <w:spacing w:before="0" w:beforeAutospacing="0" w:after="60" w:afterAutospacing="0"/>
        <w:jc w:val="both"/>
        <w:rPr>
          <w:szCs w:val="21"/>
        </w:rPr>
      </w:pPr>
      <w:r w:rsidRPr="0062087B">
        <w:rPr>
          <w:szCs w:val="21"/>
        </w:rPr>
        <w:t xml:space="preserve">          Заземляющее устройство состоит из заземлителя (проводящей части или совокупности соединенных между собой проводящих частей, находящихся в электрическом контакте с землей непосредственно или через промежуточную проводящую среду) и заземляющего проводника, соединяющего заземляемую часть (точку) с заземлителем. Заземлитель может быть простым металлическим стержнем (чаще всего стальным, реже медным) или сложным комплексом элементов специальной формы. Качество заземления определяется значением сопротивления заземляющего устройства, которое можно снизить, увеличивая площадь заземлителей или проводимость среды — используя множество стержней, повышая содержание солей в земле и т.д. Электрическое сопротивление заземляющего устройства определяется требованиями Правилами устройства электроустановок (ПУЭ).</w:t>
      </w:r>
    </w:p>
    <w:p w:rsidR="0062087B" w:rsidRPr="0062087B" w:rsidRDefault="0062087B" w:rsidP="0062087B">
      <w:pPr>
        <w:pStyle w:val="a4"/>
        <w:shd w:val="clear" w:color="auto" w:fill="FFFFFF"/>
        <w:spacing w:before="0" w:beforeAutospacing="0" w:after="60" w:afterAutospacing="0"/>
        <w:jc w:val="both"/>
        <w:rPr>
          <w:szCs w:val="21"/>
        </w:rPr>
      </w:pPr>
      <w:r w:rsidRPr="0062087B">
        <w:rPr>
          <w:szCs w:val="21"/>
        </w:rPr>
        <w:t xml:space="preserve">          Требования ПУЭ обязательны для всех организаций независимо от форм собственности и организационно-правовых форм, а также для физических лиц, занятых предпринимательской деятельностью без образования юридического лица.</w:t>
      </w:r>
    </w:p>
    <w:p w:rsidR="0062087B" w:rsidRPr="0062087B" w:rsidRDefault="0062087B" w:rsidP="0062087B">
      <w:pPr>
        <w:pStyle w:val="a4"/>
        <w:shd w:val="clear" w:color="auto" w:fill="FFFFFF"/>
        <w:spacing w:before="0" w:beforeAutospacing="0" w:after="60" w:afterAutospacing="0"/>
        <w:jc w:val="both"/>
        <w:rPr>
          <w:szCs w:val="21"/>
        </w:rPr>
      </w:pPr>
      <w:r w:rsidRPr="0062087B">
        <w:rPr>
          <w:szCs w:val="21"/>
        </w:rPr>
        <w:t>Так, например, в числе прочего ПУЭ распространяется на установки электрического освещения зданий, помещений и сооружений наружного освещения городов, посёлков и сельских населённых пунктов, территорий предприятий и учреждений, на установки оздоровительного ультрафиолетового облучения длительного действия, установки световой рекламы, световые знаки и иллюминационные установки.</w:t>
      </w:r>
    </w:p>
    <w:p w:rsidR="0062087B" w:rsidRPr="0062087B" w:rsidRDefault="0062087B" w:rsidP="0062087B">
      <w:pPr>
        <w:pStyle w:val="a4"/>
        <w:shd w:val="clear" w:color="auto" w:fill="FFFFFF"/>
        <w:spacing w:before="0" w:beforeAutospacing="0" w:after="60" w:afterAutospacing="0"/>
        <w:jc w:val="both"/>
        <w:rPr>
          <w:szCs w:val="21"/>
        </w:rPr>
      </w:pPr>
      <w:r w:rsidRPr="0062087B">
        <w:rPr>
          <w:b/>
          <w:szCs w:val="21"/>
        </w:rPr>
        <w:t>Молниезащита</w:t>
      </w:r>
      <w:r w:rsidRPr="0062087B">
        <w:rPr>
          <w:szCs w:val="21"/>
        </w:rPr>
        <w:t xml:space="preserve"> — это комплекс технических решений и специальных приспособлений для обеспечения безопасности здания, а также имущества и людей, находящихся в нем. На земном шаре ежегодно происходит до 16-и миллионов гроз, то есть около 44 тысяч за день. Прямой удар молнии очень опасен для здоровья людей, нередки случаи смертельного исхода. Для зданий и сооружений угрозами вследствие непосредственного контакта канала молнии с поражаемыми объектами являются возможность возгорания либо разрушения, а также повреждение чувствительного оборудования вследствие сопутствующего молнии импульсного электромагнитного поля.</w:t>
      </w:r>
    </w:p>
    <w:p w:rsidR="0062087B" w:rsidRPr="0062087B" w:rsidRDefault="0062087B" w:rsidP="0062087B">
      <w:pPr>
        <w:pStyle w:val="a4"/>
        <w:shd w:val="clear" w:color="auto" w:fill="FFFFFF"/>
        <w:spacing w:before="0" w:beforeAutospacing="0" w:after="60" w:afterAutospacing="0"/>
        <w:jc w:val="both"/>
        <w:rPr>
          <w:szCs w:val="21"/>
        </w:rPr>
      </w:pPr>
      <w:r>
        <w:rPr>
          <w:szCs w:val="21"/>
        </w:rPr>
        <w:t xml:space="preserve">          </w:t>
      </w:r>
      <w:r w:rsidRPr="0062087B">
        <w:rPr>
          <w:szCs w:val="21"/>
        </w:rPr>
        <w:t>Молниезащита зданий разделяется на внешнюю и внутреннюю.</w:t>
      </w:r>
    </w:p>
    <w:p w:rsidR="0062087B" w:rsidRPr="0062087B" w:rsidRDefault="0062087B" w:rsidP="0062087B">
      <w:pPr>
        <w:pStyle w:val="a4"/>
        <w:shd w:val="clear" w:color="auto" w:fill="FFFFFF"/>
        <w:spacing w:before="0" w:beforeAutospacing="0" w:after="60" w:afterAutospacing="0"/>
        <w:jc w:val="both"/>
        <w:rPr>
          <w:szCs w:val="21"/>
        </w:rPr>
      </w:pPr>
      <w:r>
        <w:rPr>
          <w:szCs w:val="21"/>
        </w:rPr>
        <w:t xml:space="preserve">          </w:t>
      </w:r>
      <w:r w:rsidRPr="0062087B">
        <w:rPr>
          <w:szCs w:val="21"/>
        </w:rPr>
        <w:t>Внешняя молниезащита представляет собой систему, обеспечивающую перехват молнии и отвод её в землю, тем самым, защищая здание (сооружение) от повреждения и пожара. Система внешней молниезащиты, организованная по принципу молниеприёмной сетки, проектируется индивидуально под каждое конкретное здание. В момент прямого удара молнии в строительный объект правильно спроектированное и сооруженное молниезащитное устройство должно принять на себя ток молнии и отвести его по токоотводам на заземление. Прохождение тока молнии должно произойти без ущерба для защищаемого объекта и быть безопасным для людей, находящихся как внутри, так и снаружи этого объекта.</w:t>
      </w:r>
    </w:p>
    <w:p w:rsidR="0062087B" w:rsidRPr="0062087B" w:rsidRDefault="0062087B" w:rsidP="0062087B">
      <w:pPr>
        <w:pStyle w:val="a4"/>
        <w:shd w:val="clear" w:color="auto" w:fill="FFFFFF"/>
        <w:spacing w:before="0" w:beforeAutospacing="0" w:after="60" w:afterAutospacing="0"/>
        <w:jc w:val="both"/>
        <w:rPr>
          <w:b/>
          <w:i/>
          <w:sz w:val="28"/>
          <w:szCs w:val="21"/>
          <w:u w:val="single"/>
        </w:rPr>
      </w:pPr>
      <w:r w:rsidRPr="0062087B">
        <w:rPr>
          <w:b/>
          <w:i/>
          <w:sz w:val="28"/>
          <w:szCs w:val="21"/>
          <w:u w:val="single"/>
        </w:rPr>
        <w:lastRenderedPageBreak/>
        <w:t>Состав внешней молниезащиты:</w:t>
      </w:r>
    </w:p>
    <w:p w:rsidR="0062087B" w:rsidRPr="0062087B" w:rsidRDefault="0062087B" w:rsidP="0062087B">
      <w:pPr>
        <w:pStyle w:val="a4"/>
        <w:shd w:val="clear" w:color="auto" w:fill="FFFFFF"/>
        <w:spacing w:before="0" w:beforeAutospacing="0" w:after="60" w:afterAutospacing="0"/>
        <w:jc w:val="both"/>
        <w:rPr>
          <w:szCs w:val="21"/>
        </w:rPr>
      </w:pPr>
      <w:r w:rsidRPr="0062087B">
        <w:rPr>
          <w:b/>
          <w:szCs w:val="21"/>
        </w:rPr>
        <w:t>Молниеотвод</w:t>
      </w:r>
      <w:r w:rsidRPr="0062087B">
        <w:rPr>
          <w:szCs w:val="21"/>
        </w:rPr>
        <w:t xml:space="preserve"> (молниеприёмник, громоотвод) — устройство, перехватывающее разряд молнии. Выполняется из металла (нержавеющая либо оцинкованная сталь, алюминий, медь)</w:t>
      </w:r>
      <w:r>
        <w:rPr>
          <w:szCs w:val="21"/>
        </w:rPr>
        <w:t>.</w:t>
      </w:r>
    </w:p>
    <w:p w:rsidR="0062087B" w:rsidRPr="0062087B" w:rsidRDefault="0062087B" w:rsidP="0062087B">
      <w:pPr>
        <w:pStyle w:val="a4"/>
        <w:shd w:val="clear" w:color="auto" w:fill="FFFFFF"/>
        <w:spacing w:before="0" w:beforeAutospacing="0" w:after="60" w:afterAutospacing="0"/>
        <w:jc w:val="both"/>
        <w:rPr>
          <w:szCs w:val="21"/>
        </w:rPr>
      </w:pPr>
      <w:r w:rsidRPr="0062087B">
        <w:rPr>
          <w:b/>
          <w:szCs w:val="21"/>
        </w:rPr>
        <w:t>Токоотводы</w:t>
      </w:r>
      <w:r w:rsidRPr="0062087B">
        <w:rPr>
          <w:szCs w:val="21"/>
        </w:rPr>
        <w:t xml:space="preserve"> (спуски) — часть молниеотвода, предназначенная для отвода тока молнии от молниеприемника к заземлителю.</w:t>
      </w:r>
    </w:p>
    <w:p w:rsidR="0062087B" w:rsidRPr="0062087B" w:rsidRDefault="0062087B" w:rsidP="0062087B">
      <w:pPr>
        <w:pStyle w:val="a4"/>
        <w:shd w:val="clear" w:color="auto" w:fill="FFFFFF"/>
        <w:spacing w:before="0" w:beforeAutospacing="0" w:after="60" w:afterAutospacing="0"/>
        <w:jc w:val="both"/>
        <w:rPr>
          <w:szCs w:val="21"/>
        </w:rPr>
      </w:pPr>
      <w:r w:rsidRPr="0062087B">
        <w:rPr>
          <w:b/>
          <w:szCs w:val="21"/>
        </w:rPr>
        <w:t>Заземлитель</w:t>
      </w:r>
      <w:r w:rsidRPr="0062087B">
        <w:rPr>
          <w:szCs w:val="21"/>
        </w:rPr>
        <w:t xml:space="preserve"> — проводящая часть или совокупность соединенных между собой проводящих частей, находящихся в электрическом контакте с землей непосредственно или через проводящую среду.</w:t>
      </w:r>
    </w:p>
    <w:p w:rsidR="0062087B" w:rsidRPr="0062087B" w:rsidRDefault="0062087B" w:rsidP="0062087B">
      <w:pPr>
        <w:pStyle w:val="a4"/>
        <w:shd w:val="clear" w:color="auto" w:fill="FFFFFF"/>
        <w:spacing w:before="0" w:beforeAutospacing="0" w:after="60" w:afterAutospacing="0"/>
        <w:jc w:val="center"/>
        <w:rPr>
          <w:b/>
          <w:sz w:val="28"/>
          <w:szCs w:val="21"/>
        </w:rPr>
      </w:pPr>
      <w:r w:rsidRPr="0062087B">
        <w:rPr>
          <w:b/>
          <w:sz w:val="28"/>
          <w:szCs w:val="21"/>
        </w:rPr>
        <w:t>Внутренняя система молниезащиты</w:t>
      </w:r>
    </w:p>
    <w:p w:rsidR="0062087B" w:rsidRPr="0062087B" w:rsidRDefault="0062087B" w:rsidP="0062087B">
      <w:pPr>
        <w:pStyle w:val="a4"/>
        <w:shd w:val="clear" w:color="auto" w:fill="FFFFFF"/>
        <w:spacing w:before="0" w:beforeAutospacing="0" w:after="60" w:afterAutospacing="0"/>
        <w:jc w:val="both"/>
        <w:rPr>
          <w:szCs w:val="21"/>
        </w:rPr>
      </w:pPr>
      <w:r>
        <w:rPr>
          <w:szCs w:val="21"/>
        </w:rPr>
        <w:t xml:space="preserve">          </w:t>
      </w:r>
      <w:r w:rsidRPr="0062087B">
        <w:rPr>
          <w:szCs w:val="21"/>
        </w:rPr>
        <w:t>Внутренняя молниезащита должна уменьшать электромагнитные эффекты воздействия тока молнии на людей, инсталляции и оборудование, находящееся внутри строительных объектов. В дальнейшей части работы будут представлены только основные вопросы внутренней молниезащиты, касающиеся: Уравнивания потенциалов инсталляций, входящих в строительный объект Уравнивание потенциалов внутри строительного объекта Подбора и размещения устройств, ограничивающих перенапряжения и защищающих электрическую инсталляцию, системы передачи сигналов, а также устройства от прямого воздействия части тока молнии</w:t>
      </w:r>
    </w:p>
    <w:p w:rsidR="0062087B" w:rsidRDefault="0062087B" w:rsidP="0062087B">
      <w:pPr>
        <w:pStyle w:val="a4"/>
        <w:shd w:val="clear" w:color="auto" w:fill="FFFFFF"/>
        <w:spacing w:before="0" w:beforeAutospacing="0" w:after="60" w:afterAutospacing="0"/>
        <w:jc w:val="both"/>
        <w:rPr>
          <w:szCs w:val="21"/>
        </w:rPr>
      </w:pPr>
      <w:r w:rsidRPr="0062087B">
        <w:rPr>
          <w:szCs w:val="21"/>
        </w:rPr>
        <w:t xml:space="preserve">Основные принципы уравнивания потенциалов содержатся в нормах молниезащиты строительных объектов. В соответствии с этими принципами следует уравнивать потенциалы всех проводящих инсталляций, входящих в объект. Уравнивание потенциалов следует выполнить при помощи соединений с низким импедансом: </w:t>
      </w:r>
    </w:p>
    <w:p w:rsidR="0062087B" w:rsidRDefault="0062087B" w:rsidP="0062087B">
      <w:pPr>
        <w:pStyle w:val="a4"/>
        <w:shd w:val="clear" w:color="auto" w:fill="FFFFFF"/>
        <w:spacing w:before="0" w:beforeAutospacing="0" w:after="60" w:afterAutospacing="0"/>
        <w:jc w:val="both"/>
        <w:rPr>
          <w:szCs w:val="21"/>
        </w:rPr>
      </w:pPr>
      <w:r w:rsidRPr="0062087B">
        <w:rPr>
          <w:b/>
          <w:szCs w:val="21"/>
        </w:rPr>
        <w:t>Непосредственных</w:t>
      </w:r>
      <w:r w:rsidRPr="0062087B">
        <w:rPr>
          <w:szCs w:val="21"/>
        </w:rPr>
        <w:t xml:space="preserve"> — между проводящими инсталляциями и устройствами, на которых не возникает по</w:t>
      </w:r>
      <w:r>
        <w:rPr>
          <w:szCs w:val="21"/>
        </w:rPr>
        <w:t>стоянно электрический потенциал;</w:t>
      </w:r>
      <w:r w:rsidRPr="0062087B">
        <w:rPr>
          <w:szCs w:val="21"/>
        </w:rPr>
        <w:t xml:space="preserve"> </w:t>
      </w:r>
    </w:p>
    <w:p w:rsidR="0062087B" w:rsidRPr="0062087B" w:rsidRDefault="0062087B" w:rsidP="0062087B">
      <w:pPr>
        <w:pStyle w:val="a4"/>
        <w:shd w:val="clear" w:color="auto" w:fill="FFFFFF"/>
        <w:spacing w:before="0" w:beforeAutospacing="0" w:after="60" w:afterAutospacing="0"/>
        <w:jc w:val="both"/>
        <w:rPr>
          <w:szCs w:val="21"/>
        </w:rPr>
      </w:pPr>
      <w:r w:rsidRPr="0062087B">
        <w:rPr>
          <w:b/>
          <w:szCs w:val="21"/>
        </w:rPr>
        <w:t xml:space="preserve">Ограничивающих </w:t>
      </w:r>
      <w:r w:rsidRPr="0062087B">
        <w:rPr>
          <w:szCs w:val="21"/>
        </w:rPr>
        <w:t>— между устройствами, заземленными и изолированными от земли, а также находящимися под напряжением проводами электрических устройств.</w:t>
      </w:r>
    </w:p>
    <w:p w:rsidR="0062087B" w:rsidRPr="0062087B" w:rsidRDefault="0062087B" w:rsidP="0062087B">
      <w:pPr>
        <w:pStyle w:val="a4"/>
        <w:shd w:val="clear" w:color="auto" w:fill="FFFFFF"/>
        <w:spacing w:before="0" w:beforeAutospacing="0" w:after="60" w:afterAutospacing="0"/>
        <w:jc w:val="both"/>
        <w:rPr>
          <w:szCs w:val="21"/>
        </w:rPr>
      </w:pPr>
      <w:r>
        <w:rPr>
          <w:szCs w:val="21"/>
        </w:rPr>
        <w:t xml:space="preserve">          </w:t>
      </w:r>
      <w:r w:rsidRPr="0062087B">
        <w:rPr>
          <w:szCs w:val="21"/>
        </w:rPr>
        <w:t>Линии электропередачи и распределительные устройства электрических сетей защищаются от перенапряжений при ударе молнии с помощью защитных аппаратов: вентильных разрядников или ОПН (ограничитель перенапряжения нелинейный), устанавливаемых машинах или на входе в подстанции.</w:t>
      </w:r>
    </w:p>
    <w:p w:rsidR="009C0C62" w:rsidRDefault="009C0C62" w:rsidP="009C0C62">
      <w:pPr>
        <w:spacing w:after="0" w:line="259" w:lineRule="auto"/>
        <w:ind w:left="0" w:right="2" w:firstLine="0"/>
        <w:jc w:val="left"/>
      </w:pPr>
      <w:r>
        <w:t xml:space="preserve"> </w:t>
      </w:r>
    </w:p>
    <w:p w:rsidR="009C0C62" w:rsidRDefault="009C0C62" w:rsidP="009C0C62">
      <w:pPr>
        <w:spacing w:after="0" w:line="259" w:lineRule="auto"/>
        <w:ind w:left="0" w:right="2" w:firstLine="0"/>
        <w:jc w:val="left"/>
      </w:pPr>
    </w:p>
    <w:p w:rsidR="009C0C62" w:rsidRPr="00EB28D8" w:rsidRDefault="009C0C62" w:rsidP="00EB28D8">
      <w:pPr>
        <w:spacing w:line="360" w:lineRule="auto"/>
        <w:ind w:left="360" w:right="2"/>
        <w:jc w:val="center"/>
        <w:rPr>
          <w:b/>
          <w:color w:val="FF0000"/>
          <w:sz w:val="32"/>
          <w:szCs w:val="26"/>
        </w:rPr>
      </w:pPr>
      <w:r w:rsidRPr="00EB28D8">
        <w:rPr>
          <w:b/>
          <w:color w:val="FF0000"/>
          <w:sz w:val="32"/>
          <w:szCs w:val="26"/>
        </w:rPr>
        <w:t xml:space="preserve">Дежурная диспетчерская служба </w:t>
      </w:r>
    </w:p>
    <w:p w:rsidR="009C0C62" w:rsidRPr="00EB28D8" w:rsidRDefault="009C0C62" w:rsidP="00EB28D8">
      <w:pPr>
        <w:spacing w:line="360" w:lineRule="auto"/>
        <w:ind w:left="360" w:right="2"/>
        <w:jc w:val="center"/>
        <w:rPr>
          <w:b/>
          <w:color w:val="FF0000"/>
          <w:sz w:val="32"/>
          <w:szCs w:val="26"/>
        </w:rPr>
      </w:pPr>
      <w:r w:rsidRPr="00EB28D8">
        <w:rPr>
          <w:b/>
          <w:color w:val="FF0000"/>
          <w:sz w:val="32"/>
          <w:szCs w:val="26"/>
        </w:rPr>
        <w:t xml:space="preserve">администрации поселения Московский </w:t>
      </w:r>
    </w:p>
    <w:p w:rsidR="009C0C62" w:rsidRPr="00EB28D8" w:rsidRDefault="009C0C62" w:rsidP="00EB28D8">
      <w:pPr>
        <w:spacing w:line="360" w:lineRule="auto"/>
        <w:ind w:left="360" w:right="2"/>
        <w:jc w:val="center"/>
        <w:rPr>
          <w:b/>
          <w:color w:val="FF0000"/>
          <w:sz w:val="32"/>
          <w:szCs w:val="26"/>
        </w:rPr>
      </w:pPr>
      <w:r w:rsidRPr="00EB28D8">
        <w:rPr>
          <w:b/>
          <w:color w:val="FF0000"/>
          <w:sz w:val="32"/>
          <w:szCs w:val="26"/>
        </w:rPr>
        <w:t>8(495)841-81-47, 8 (495) 841-80-80, 8 (910) 001-25-38</w:t>
      </w:r>
    </w:p>
    <w:p w:rsidR="009C0C62" w:rsidRPr="00EB28D8" w:rsidRDefault="009C0C62" w:rsidP="00EB28D8">
      <w:pPr>
        <w:spacing w:line="360" w:lineRule="auto"/>
        <w:ind w:left="360" w:right="2"/>
        <w:jc w:val="center"/>
        <w:rPr>
          <w:b/>
          <w:color w:val="FF0000"/>
          <w:sz w:val="32"/>
          <w:szCs w:val="26"/>
        </w:rPr>
      </w:pPr>
      <w:r w:rsidRPr="00EB28D8">
        <w:rPr>
          <w:b/>
          <w:color w:val="FF0000"/>
          <w:sz w:val="32"/>
          <w:szCs w:val="26"/>
        </w:rPr>
        <w:t>Телефон пожарной охраны – 101, 112</w:t>
      </w:r>
    </w:p>
    <w:p w:rsidR="009C0C62" w:rsidRPr="00EB28D8" w:rsidRDefault="009C0C62" w:rsidP="00EB28D8">
      <w:pPr>
        <w:spacing w:line="360" w:lineRule="auto"/>
        <w:ind w:left="360" w:right="2"/>
        <w:jc w:val="center"/>
        <w:rPr>
          <w:b/>
          <w:color w:val="FF0000"/>
          <w:sz w:val="32"/>
          <w:szCs w:val="26"/>
        </w:rPr>
      </w:pPr>
      <w:r w:rsidRPr="00EB28D8">
        <w:rPr>
          <w:b/>
          <w:color w:val="FF0000"/>
          <w:sz w:val="32"/>
          <w:szCs w:val="26"/>
        </w:rPr>
        <w:t>Единый телефон доверия ГУ МЧС России по г. Москве:</w:t>
      </w:r>
    </w:p>
    <w:p w:rsidR="009C0C62" w:rsidRPr="00EB28D8" w:rsidRDefault="009C0C62" w:rsidP="00EB28D8">
      <w:pPr>
        <w:spacing w:line="360" w:lineRule="auto"/>
        <w:ind w:left="360" w:right="2"/>
        <w:jc w:val="center"/>
        <w:rPr>
          <w:b/>
          <w:color w:val="FF0000"/>
          <w:sz w:val="32"/>
          <w:szCs w:val="26"/>
        </w:rPr>
      </w:pPr>
      <w:r w:rsidRPr="00EB28D8">
        <w:rPr>
          <w:b/>
          <w:color w:val="FF0000"/>
          <w:sz w:val="32"/>
          <w:szCs w:val="26"/>
        </w:rPr>
        <w:t xml:space="preserve"> +7(495) 637-22-22</w:t>
      </w:r>
    </w:p>
    <w:p w:rsidR="009C0C62" w:rsidRPr="00EB28D8" w:rsidRDefault="009C0C62" w:rsidP="00EB28D8">
      <w:pPr>
        <w:spacing w:line="360" w:lineRule="auto"/>
        <w:ind w:left="360" w:right="2"/>
        <w:jc w:val="center"/>
        <w:rPr>
          <w:b/>
          <w:color w:val="FF0000"/>
          <w:sz w:val="32"/>
          <w:szCs w:val="26"/>
        </w:rPr>
      </w:pPr>
      <w:r w:rsidRPr="00EB28D8">
        <w:rPr>
          <w:b/>
          <w:color w:val="FF0000"/>
          <w:sz w:val="32"/>
          <w:szCs w:val="26"/>
        </w:rPr>
        <w:t>mchs.qov.ru – официальный интернет сайт МЧС России</w:t>
      </w:r>
    </w:p>
    <w:p w:rsidR="00AA5A0F" w:rsidRPr="00EB28D8" w:rsidRDefault="009C0C62" w:rsidP="00EB28D8">
      <w:pPr>
        <w:spacing w:line="360" w:lineRule="auto"/>
        <w:ind w:left="360" w:right="2"/>
        <w:jc w:val="center"/>
        <w:rPr>
          <w:b/>
          <w:color w:val="FF0000"/>
          <w:sz w:val="32"/>
          <w:szCs w:val="26"/>
        </w:rPr>
      </w:pPr>
      <w:proofErr w:type="spellStart"/>
      <w:r w:rsidRPr="00EB28D8">
        <w:rPr>
          <w:b/>
          <w:color w:val="FF0000"/>
          <w:sz w:val="32"/>
          <w:szCs w:val="26"/>
          <w:lang w:val="en-US"/>
        </w:rPr>
        <w:t>adm</w:t>
      </w:r>
      <w:proofErr w:type="spellEnd"/>
      <w:r w:rsidRPr="00EB28D8">
        <w:rPr>
          <w:b/>
          <w:color w:val="FF0000"/>
          <w:sz w:val="32"/>
          <w:szCs w:val="26"/>
        </w:rPr>
        <w:t>-</w:t>
      </w:r>
      <w:proofErr w:type="spellStart"/>
      <w:r w:rsidRPr="00EB28D8">
        <w:rPr>
          <w:b/>
          <w:color w:val="FF0000"/>
          <w:sz w:val="32"/>
          <w:szCs w:val="26"/>
          <w:lang w:val="en-US"/>
        </w:rPr>
        <w:t>moskovsky</w:t>
      </w:r>
      <w:proofErr w:type="spellEnd"/>
      <w:r w:rsidRPr="00EB28D8">
        <w:rPr>
          <w:b/>
          <w:color w:val="FF0000"/>
          <w:sz w:val="32"/>
          <w:szCs w:val="26"/>
        </w:rPr>
        <w:t>.</w:t>
      </w:r>
      <w:proofErr w:type="spellStart"/>
      <w:r w:rsidRPr="00EB28D8">
        <w:rPr>
          <w:b/>
          <w:color w:val="FF0000"/>
          <w:sz w:val="32"/>
          <w:szCs w:val="26"/>
        </w:rPr>
        <w:t>ru</w:t>
      </w:r>
      <w:proofErr w:type="spellEnd"/>
      <w:r w:rsidRPr="00EB28D8">
        <w:rPr>
          <w:b/>
          <w:color w:val="FF0000"/>
          <w:sz w:val="32"/>
          <w:szCs w:val="26"/>
        </w:rPr>
        <w:t xml:space="preserve"> – официальный интернет сайт администрации поселения Московский</w:t>
      </w:r>
    </w:p>
    <w:sectPr w:rsidR="00AA5A0F" w:rsidRPr="00EB28D8">
      <w:pgSz w:w="11904" w:h="16836"/>
      <w:pgMar w:top="898" w:right="846" w:bottom="101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C005B"/>
    <w:multiLevelType w:val="hybridMultilevel"/>
    <w:tmpl w:val="C332045C"/>
    <w:lvl w:ilvl="0" w:tplc="AADA1FBA">
      <w:start w:val="1"/>
      <w:numFmt w:val="bullet"/>
      <w:lvlText w:val="-"/>
      <w:lvlJc w:val="left"/>
      <w:pPr>
        <w:ind w:left="116"/>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1" w:tplc="8402AAA4">
      <w:start w:val="1"/>
      <w:numFmt w:val="bullet"/>
      <w:lvlText w:val="o"/>
      <w:lvlJc w:val="left"/>
      <w:pPr>
        <w:ind w:left="108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2" w:tplc="D692186E">
      <w:start w:val="1"/>
      <w:numFmt w:val="bullet"/>
      <w:lvlText w:val="▪"/>
      <w:lvlJc w:val="left"/>
      <w:pPr>
        <w:ind w:left="180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3" w:tplc="BD24A3CE">
      <w:start w:val="1"/>
      <w:numFmt w:val="bullet"/>
      <w:lvlText w:val="•"/>
      <w:lvlJc w:val="left"/>
      <w:pPr>
        <w:ind w:left="252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4" w:tplc="AA1A256C">
      <w:start w:val="1"/>
      <w:numFmt w:val="bullet"/>
      <w:lvlText w:val="o"/>
      <w:lvlJc w:val="left"/>
      <w:pPr>
        <w:ind w:left="324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5" w:tplc="EF38CEF4">
      <w:start w:val="1"/>
      <w:numFmt w:val="bullet"/>
      <w:lvlText w:val="▪"/>
      <w:lvlJc w:val="left"/>
      <w:pPr>
        <w:ind w:left="396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6" w:tplc="1958B782">
      <w:start w:val="1"/>
      <w:numFmt w:val="bullet"/>
      <w:lvlText w:val="•"/>
      <w:lvlJc w:val="left"/>
      <w:pPr>
        <w:ind w:left="468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7" w:tplc="9432A668">
      <w:start w:val="1"/>
      <w:numFmt w:val="bullet"/>
      <w:lvlText w:val="o"/>
      <w:lvlJc w:val="left"/>
      <w:pPr>
        <w:ind w:left="540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8" w:tplc="77406146">
      <w:start w:val="1"/>
      <w:numFmt w:val="bullet"/>
      <w:lvlText w:val="▪"/>
      <w:lvlJc w:val="left"/>
      <w:pPr>
        <w:ind w:left="612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abstractNum>
  <w:abstractNum w:abstractNumId="1" w15:restartNumberingAfterBreak="0">
    <w:nsid w:val="115C34A3"/>
    <w:multiLevelType w:val="hybridMultilevel"/>
    <w:tmpl w:val="12280430"/>
    <w:lvl w:ilvl="0" w:tplc="13AC0ED6">
      <w:start w:val="1"/>
      <w:numFmt w:val="bullet"/>
      <w:lvlText w:val="-"/>
      <w:lvlJc w:val="left"/>
      <w:pPr>
        <w:ind w:left="116"/>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1" w:tplc="9680215C">
      <w:start w:val="1"/>
      <w:numFmt w:val="bullet"/>
      <w:lvlText w:val="o"/>
      <w:lvlJc w:val="left"/>
      <w:pPr>
        <w:ind w:left="108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2" w:tplc="3034960C">
      <w:start w:val="1"/>
      <w:numFmt w:val="bullet"/>
      <w:lvlText w:val="▪"/>
      <w:lvlJc w:val="left"/>
      <w:pPr>
        <w:ind w:left="180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3" w:tplc="C8F86EAE">
      <w:start w:val="1"/>
      <w:numFmt w:val="bullet"/>
      <w:lvlText w:val="•"/>
      <w:lvlJc w:val="left"/>
      <w:pPr>
        <w:ind w:left="252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4" w:tplc="7688D67A">
      <w:start w:val="1"/>
      <w:numFmt w:val="bullet"/>
      <w:lvlText w:val="o"/>
      <w:lvlJc w:val="left"/>
      <w:pPr>
        <w:ind w:left="324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5" w:tplc="9A227638">
      <w:start w:val="1"/>
      <w:numFmt w:val="bullet"/>
      <w:lvlText w:val="▪"/>
      <w:lvlJc w:val="left"/>
      <w:pPr>
        <w:ind w:left="396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6" w:tplc="C26EAA8A">
      <w:start w:val="1"/>
      <w:numFmt w:val="bullet"/>
      <w:lvlText w:val="•"/>
      <w:lvlJc w:val="left"/>
      <w:pPr>
        <w:ind w:left="468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7" w:tplc="039A6A94">
      <w:start w:val="1"/>
      <w:numFmt w:val="bullet"/>
      <w:lvlText w:val="o"/>
      <w:lvlJc w:val="left"/>
      <w:pPr>
        <w:ind w:left="540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8" w:tplc="518602B6">
      <w:start w:val="1"/>
      <w:numFmt w:val="bullet"/>
      <w:lvlText w:val="▪"/>
      <w:lvlJc w:val="left"/>
      <w:pPr>
        <w:ind w:left="612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abstractNum>
  <w:abstractNum w:abstractNumId="2" w15:restartNumberingAfterBreak="0">
    <w:nsid w:val="14BF0542"/>
    <w:multiLevelType w:val="hybridMultilevel"/>
    <w:tmpl w:val="B8EA85F6"/>
    <w:lvl w:ilvl="0" w:tplc="BF246EEE">
      <w:start w:val="1"/>
      <w:numFmt w:val="bullet"/>
      <w:lvlText w:val="-"/>
      <w:lvlJc w:val="left"/>
      <w:pPr>
        <w:ind w:left="116"/>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1" w:tplc="1D8279CE">
      <w:start w:val="1"/>
      <w:numFmt w:val="bullet"/>
      <w:lvlText w:val="o"/>
      <w:lvlJc w:val="left"/>
      <w:pPr>
        <w:ind w:left="108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2" w:tplc="50A061A6">
      <w:start w:val="1"/>
      <w:numFmt w:val="bullet"/>
      <w:lvlText w:val="▪"/>
      <w:lvlJc w:val="left"/>
      <w:pPr>
        <w:ind w:left="180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3" w:tplc="B78ACCBA">
      <w:start w:val="1"/>
      <w:numFmt w:val="bullet"/>
      <w:lvlText w:val="•"/>
      <w:lvlJc w:val="left"/>
      <w:pPr>
        <w:ind w:left="252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4" w:tplc="83967360">
      <w:start w:val="1"/>
      <w:numFmt w:val="bullet"/>
      <w:lvlText w:val="o"/>
      <w:lvlJc w:val="left"/>
      <w:pPr>
        <w:ind w:left="324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5" w:tplc="C50272BE">
      <w:start w:val="1"/>
      <w:numFmt w:val="bullet"/>
      <w:lvlText w:val="▪"/>
      <w:lvlJc w:val="left"/>
      <w:pPr>
        <w:ind w:left="396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6" w:tplc="8500E2B2">
      <w:start w:val="1"/>
      <w:numFmt w:val="bullet"/>
      <w:lvlText w:val="•"/>
      <w:lvlJc w:val="left"/>
      <w:pPr>
        <w:ind w:left="468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7" w:tplc="5D5AB506">
      <w:start w:val="1"/>
      <w:numFmt w:val="bullet"/>
      <w:lvlText w:val="o"/>
      <w:lvlJc w:val="left"/>
      <w:pPr>
        <w:ind w:left="540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8" w:tplc="1E28533A">
      <w:start w:val="1"/>
      <w:numFmt w:val="bullet"/>
      <w:lvlText w:val="▪"/>
      <w:lvlJc w:val="left"/>
      <w:pPr>
        <w:ind w:left="612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abstractNum>
  <w:abstractNum w:abstractNumId="3" w15:restartNumberingAfterBreak="0">
    <w:nsid w:val="1FA1274C"/>
    <w:multiLevelType w:val="hybridMultilevel"/>
    <w:tmpl w:val="9A94D094"/>
    <w:lvl w:ilvl="0" w:tplc="7DE2B0F4">
      <w:start w:val="1"/>
      <w:numFmt w:val="bullet"/>
      <w:lvlText w:val="-"/>
      <w:lvlJc w:val="left"/>
      <w:pPr>
        <w:ind w:left="13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1" w:tplc="2AFEDF0A">
      <w:start w:val="1"/>
      <w:numFmt w:val="bullet"/>
      <w:lvlText w:val="o"/>
      <w:lvlJc w:val="left"/>
      <w:pPr>
        <w:ind w:left="108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2" w:tplc="0D5A74DE">
      <w:start w:val="1"/>
      <w:numFmt w:val="bullet"/>
      <w:lvlText w:val="▪"/>
      <w:lvlJc w:val="left"/>
      <w:pPr>
        <w:ind w:left="180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3" w:tplc="F742344C">
      <w:start w:val="1"/>
      <w:numFmt w:val="bullet"/>
      <w:lvlText w:val="•"/>
      <w:lvlJc w:val="left"/>
      <w:pPr>
        <w:ind w:left="252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4" w:tplc="BAB07964">
      <w:start w:val="1"/>
      <w:numFmt w:val="bullet"/>
      <w:lvlText w:val="o"/>
      <w:lvlJc w:val="left"/>
      <w:pPr>
        <w:ind w:left="324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5" w:tplc="7ED41FAC">
      <w:start w:val="1"/>
      <w:numFmt w:val="bullet"/>
      <w:lvlText w:val="▪"/>
      <w:lvlJc w:val="left"/>
      <w:pPr>
        <w:ind w:left="396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6" w:tplc="54C68F72">
      <w:start w:val="1"/>
      <w:numFmt w:val="bullet"/>
      <w:lvlText w:val="•"/>
      <w:lvlJc w:val="left"/>
      <w:pPr>
        <w:ind w:left="468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7" w:tplc="8DAC921A">
      <w:start w:val="1"/>
      <w:numFmt w:val="bullet"/>
      <w:lvlText w:val="o"/>
      <w:lvlJc w:val="left"/>
      <w:pPr>
        <w:ind w:left="540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8" w:tplc="5EDC8AA4">
      <w:start w:val="1"/>
      <w:numFmt w:val="bullet"/>
      <w:lvlText w:val="▪"/>
      <w:lvlJc w:val="left"/>
      <w:pPr>
        <w:ind w:left="612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abstractNum>
  <w:abstractNum w:abstractNumId="4" w15:restartNumberingAfterBreak="0">
    <w:nsid w:val="251E1B59"/>
    <w:multiLevelType w:val="hybridMultilevel"/>
    <w:tmpl w:val="B2EA34B8"/>
    <w:lvl w:ilvl="0" w:tplc="0750F334">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84655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7EAD8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C602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20D8F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3ABA6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D824A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8C4C4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DCAD5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C22CD3"/>
    <w:multiLevelType w:val="hybridMultilevel"/>
    <w:tmpl w:val="D1622CEA"/>
    <w:lvl w:ilvl="0" w:tplc="7FD6B218">
      <w:start w:val="1"/>
      <w:numFmt w:val="bullet"/>
      <w:lvlText w:val="-"/>
      <w:lvlJc w:val="left"/>
      <w:pPr>
        <w:ind w:left="116"/>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1" w:tplc="D6AC017E">
      <w:start w:val="1"/>
      <w:numFmt w:val="bullet"/>
      <w:lvlText w:val="o"/>
      <w:lvlJc w:val="left"/>
      <w:pPr>
        <w:ind w:left="108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2" w:tplc="AF40CD02">
      <w:start w:val="1"/>
      <w:numFmt w:val="bullet"/>
      <w:lvlText w:val="▪"/>
      <w:lvlJc w:val="left"/>
      <w:pPr>
        <w:ind w:left="180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3" w:tplc="5E24F532">
      <w:start w:val="1"/>
      <w:numFmt w:val="bullet"/>
      <w:lvlText w:val="•"/>
      <w:lvlJc w:val="left"/>
      <w:pPr>
        <w:ind w:left="252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4" w:tplc="46745FFE">
      <w:start w:val="1"/>
      <w:numFmt w:val="bullet"/>
      <w:lvlText w:val="o"/>
      <w:lvlJc w:val="left"/>
      <w:pPr>
        <w:ind w:left="324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5" w:tplc="0878634A">
      <w:start w:val="1"/>
      <w:numFmt w:val="bullet"/>
      <w:lvlText w:val="▪"/>
      <w:lvlJc w:val="left"/>
      <w:pPr>
        <w:ind w:left="396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6" w:tplc="660E9476">
      <w:start w:val="1"/>
      <w:numFmt w:val="bullet"/>
      <w:lvlText w:val="•"/>
      <w:lvlJc w:val="left"/>
      <w:pPr>
        <w:ind w:left="468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7" w:tplc="DD0A73B0">
      <w:start w:val="1"/>
      <w:numFmt w:val="bullet"/>
      <w:lvlText w:val="o"/>
      <w:lvlJc w:val="left"/>
      <w:pPr>
        <w:ind w:left="540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8" w:tplc="C47436A2">
      <w:start w:val="1"/>
      <w:numFmt w:val="bullet"/>
      <w:lvlText w:val="▪"/>
      <w:lvlJc w:val="left"/>
      <w:pPr>
        <w:ind w:left="612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abstractNum>
  <w:abstractNum w:abstractNumId="6" w15:restartNumberingAfterBreak="0">
    <w:nsid w:val="3EA748FF"/>
    <w:multiLevelType w:val="hybridMultilevel"/>
    <w:tmpl w:val="55E4A69A"/>
    <w:lvl w:ilvl="0" w:tplc="F1F84684">
      <w:start w:val="1"/>
      <w:numFmt w:val="bullet"/>
      <w:lvlText w:val="-"/>
      <w:lvlJc w:val="left"/>
      <w:pPr>
        <w:ind w:left="116"/>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1" w:tplc="A74E02A8">
      <w:start w:val="1"/>
      <w:numFmt w:val="bullet"/>
      <w:lvlText w:val="o"/>
      <w:lvlJc w:val="left"/>
      <w:pPr>
        <w:ind w:left="108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2" w:tplc="2624AF12">
      <w:start w:val="1"/>
      <w:numFmt w:val="bullet"/>
      <w:lvlText w:val="▪"/>
      <w:lvlJc w:val="left"/>
      <w:pPr>
        <w:ind w:left="180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3" w:tplc="B2B8C2B2">
      <w:start w:val="1"/>
      <w:numFmt w:val="bullet"/>
      <w:lvlText w:val="•"/>
      <w:lvlJc w:val="left"/>
      <w:pPr>
        <w:ind w:left="252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4" w:tplc="C570D698">
      <w:start w:val="1"/>
      <w:numFmt w:val="bullet"/>
      <w:lvlText w:val="o"/>
      <w:lvlJc w:val="left"/>
      <w:pPr>
        <w:ind w:left="324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5" w:tplc="FF3091FA">
      <w:start w:val="1"/>
      <w:numFmt w:val="bullet"/>
      <w:lvlText w:val="▪"/>
      <w:lvlJc w:val="left"/>
      <w:pPr>
        <w:ind w:left="396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6" w:tplc="C11AA6CC">
      <w:start w:val="1"/>
      <w:numFmt w:val="bullet"/>
      <w:lvlText w:val="•"/>
      <w:lvlJc w:val="left"/>
      <w:pPr>
        <w:ind w:left="468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7" w:tplc="8292A204">
      <w:start w:val="1"/>
      <w:numFmt w:val="bullet"/>
      <w:lvlText w:val="o"/>
      <w:lvlJc w:val="left"/>
      <w:pPr>
        <w:ind w:left="540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8" w:tplc="1BBE9E02">
      <w:start w:val="1"/>
      <w:numFmt w:val="bullet"/>
      <w:lvlText w:val="▪"/>
      <w:lvlJc w:val="left"/>
      <w:pPr>
        <w:ind w:left="612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abstractNum>
  <w:abstractNum w:abstractNumId="7" w15:restartNumberingAfterBreak="0">
    <w:nsid w:val="424F18F7"/>
    <w:multiLevelType w:val="hybridMultilevel"/>
    <w:tmpl w:val="FF224C52"/>
    <w:lvl w:ilvl="0" w:tplc="35D82094">
      <w:start w:val="1"/>
      <w:numFmt w:val="decimal"/>
      <w:lvlText w:val="%1."/>
      <w:lvlJc w:val="left"/>
      <w:pPr>
        <w:ind w:left="216"/>
      </w:pPr>
      <w:rPr>
        <w:rFonts w:ascii="Times New Roman" w:eastAsia="Arial"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5B96EAE8">
      <w:start w:val="1"/>
      <w:numFmt w:val="lowerLetter"/>
      <w:lvlText w:val="%2"/>
      <w:lvlJc w:val="left"/>
      <w:pPr>
        <w:ind w:left="108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2" w:tplc="8672603C">
      <w:start w:val="1"/>
      <w:numFmt w:val="lowerRoman"/>
      <w:lvlText w:val="%3"/>
      <w:lvlJc w:val="left"/>
      <w:pPr>
        <w:ind w:left="180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3" w:tplc="5802D670">
      <w:start w:val="1"/>
      <w:numFmt w:val="decimal"/>
      <w:lvlText w:val="%4"/>
      <w:lvlJc w:val="left"/>
      <w:pPr>
        <w:ind w:left="252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4" w:tplc="2C04E59C">
      <w:start w:val="1"/>
      <w:numFmt w:val="lowerLetter"/>
      <w:lvlText w:val="%5"/>
      <w:lvlJc w:val="left"/>
      <w:pPr>
        <w:ind w:left="324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5" w:tplc="0D4EE0F8">
      <w:start w:val="1"/>
      <w:numFmt w:val="lowerRoman"/>
      <w:lvlText w:val="%6"/>
      <w:lvlJc w:val="left"/>
      <w:pPr>
        <w:ind w:left="396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6" w:tplc="2C0C4E16">
      <w:start w:val="1"/>
      <w:numFmt w:val="decimal"/>
      <w:lvlText w:val="%7"/>
      <w:lvlJc w:val="left"/>
      <w:pPr>
        <w:ind w:left="468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7" w:tplc="04BCEAAC">
      <w:start w:val="1"/>
      <w:numFmt w:val="lowerLetter"/>
      <w:lvlText w:val="%8"/>
      <w:lvlJc w:val="left"/>
      <w:pPr>
        <w:ind w:left="540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8" w:tplc="6D665E22">
      <w:start w:val="1"/>
      <w:numFmt w:val="lowerRoman"/>
      <w:lvlText w:val="%9"/>
      <w:lvlJc w:val="left"/>
      <w:pPr>
        <w:ind w:left="612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abstractNum>
  <w:abstractNum w:abstractNumId="8" w15:restartNumberingAfterBreak="0">
    <w:nsid w:val="46544D7F"/>
    <w:multiLevelType w:val="hybridMultilevel"/>
    <w:tmpl w:val="79B0EC20"/>
    <w:lvl w:ilvl="0" w:tplc="3914388E">
      <w:start w:val="1"/>
      <w:numFmt w:val="bullet"/>
      <w:lvlText w:val="-"/>
      <w:lvlJc w:val="left"/>
      <w:pPr>
        <w:ind w:left="135"/>
      </w:pPr>
      <w:rPr>
        <w:rFonts w:ascii="Times New Roman" w:eastAsia="Times New Roman" w:hAnsi="Times New Roman" w:cs="Times New Roman"/>
        <w:b w:val="0"/>
        <w:i w:val="0"/>
        <w:strike w:val="0"/>
        <w:dstrike w:val="0"/>
        <w:color w:val="0000A0"/>
        <w:sz w:val="24"/>
        <w:szCs w:val="24"/>
        <w:u w:val="none" w:color="000000"/>
        <w:bdr w:val="none" w:sz="0" w:space="0" w:color="auto"/>
        <w:shd w:val="clear" w:color="auto" w:fill="auto"/>
        <w:vertAlign w:val="baseline"/>
      </w:rPr>
    </w:lvl>
    <w:lvl w:ilvl="1" w:tplc="F1A007E4">
      <w:start w:val="1"/>
      <w:numFmt w:val="bullet"/>
      <w:lvlText w:val="o"/>
      <w:lvlJc w:val="left"/>
      <w:pPr>
        <w:ind w:left="1080"/>
      </w:pPr>
      <w:rPr>
        <w:rFonts w:ascii="Times New Roman" w:eastAsia="Times New Roman" w:hAnsi="Times New Roman" w:cs="Times New Roman"/>
        <w:b w:val="0"/>
        <w:i w:val="0"/>
        <w:strike w:val="0"/>
        <w:dstrike w:val="0"/>
        <w:color w:val="0000A0"/>
        <w:sz w:val="24"/>
        <w:szCs w:val="24"/>
        <w:u w:val="none" w:color="000000"/>
        <w:bdr w:val="none" w:sz="0" w:space="0" w:color="auto"/>
        <w:shd w:val="clear" w:color="auto" w:fill="auto"/>
        <w:vertAlign w:val="baseline"/>
      </w:rPr>
    </w:lvl>
    <w:lvl w:ilvl="2" w:tplc="F75AE250">
      <w:start w:val="1"/>
      <w:numFmt w:val="bullet"/>
      <w:lvlText w:val="▪"/>
      <w:lvlJc w:val="left"/>
      <w:pPr>
        <w:ind w:left="1800"/>
      </w:pPr>
      <w:rPr>
        <w:rFonts w:ascii="Times New Roman" w:eastAsia="Times New Roman" w:hAnsi="Times New Roman" w:cs="Times New Roman"/>
        <w:b w:val="0"/>
        <w:i w:val="0"/>
        <w:strike w:val="0"/>
        <w:dstrike w:val="0"/>
        <w:color w:val="0000A0"/>
        <w:sz w:val="24"/>
        <w:szCs w:val="24"/>
        <w:u w:val="none" w:color="000000"/>
        <w:bdr w:val="none" w:sz="0" w:space="0" w:color="auto"/>
        <w:shd w:val="clear" w:color="auto" w:fill="auto"/>
        <w:vertAlign w:val="baseline"/>
      </w:rPr>
    </w:lvl>
    <w:lvl w:ilvl="3" w:tplc="C6E002AE">
      <w:start w:val="1"/>
      <w:numFmt w:val="bullet"/>
      <w:lvlText w:val="•"/>
      <w:lvlJc w:val="left"/>
      <w:pPr>
        <w:ind w:left="2520"/>
      </w:pPr>
      <w:rPr>
        <w:rFonts w:ascii="Times New Roman" w:eastAsia="Times New Roman" w:hAnsi="Times New Roman" w:cs="Times New Roman"/>
        <w:b w:val="0"/>
        <w:i w:val="0"/>
        <w:strike w:val="0"/>
        <w:dstrike w:val="0"/>
        <w:color w:val="0000A0"/>
        <w:sz w:val="24"/>
        <w:szCs w:val="24"/>
        <w:u w:val="none" w:color="000000"/>
        <w:bdr w:val="none" w:sz="0" w:space="0" w:color="auto"/>
        <w:shd w:val="clear" w:color="auto" w:fill="auto"/>
        <w:vertAlign w:val="baseline"/>
      </w:rPr>
    </w:lvl>
    <w:lvl w:ilvl="4" w:tplc="0AA22B6A">
      <w:start w:val="1"/>
      <w:numFmt w:val="bullet"/>
      <w:lvlText w:val="o"/>
      <w:lvlJc w:val="left"/>
      <w:pPr>
        <w:ind w:left="3240"/>
      </w:pPr>
      <w:rPr>
        <w:rFonts w:ascii="Times New Roman" w:eastAsia="Times New Roman" w:hAnsi="Times New Roman" w:cs="Times New Roman"/>
        <w:b w:val="0"/>
        <w:i w:val="0"/>
        <w:strike w:val="0"/>
        <w:dstrike w:val="0"/>
        <w:color w:val="0000A0"/>
        <w:sz w:val="24"/>
        <w:szCs w:val="24"/>
        <w:u w:val="none" w:color="000000"/>
        <w:bdr w:val="none" w:sz="0" w:space="0" w:color="auto"/>
        <w:shd w:val="clear" w:color="auto" w:fill="auto"/>
        <w:vertAlign w:val="baseline"/>
      </w:rPr>
    </w:lvl>
    <w:lvl w:ilvl="5" w:tplc="ED4C11A4">
      <w:start w:val="1"/>
      <w:numFmt w:val="bullet"/>
      <w:lvlText w:val="▪"/>
      <w:lvlJc w:val="left"/>
      <w:pPr>
        <w:ind w:left="3960"/>
      </w:pPr>
      <w:rPr>
        <w:rFonts w:ascii="Times New Roman" w:eastAsia="Times New Roman" w:hAnsi="Times New Roman" w:cs="Times New Roman"/>
        <w:b w:val="0"/>
        <w:i w:val="0"/>
        <w:strike w:val="0"/>
        <w:dstrike w:val="0"/>
        <w:color w:val="0000A0"/>
        <w:sz w:val="24"/>
        <w:szCs w:val="24"/>
        <w:u w:val="none" w:color="000000"/>
        <w:bdr w:val="none" w:sz="0" w:space="0" w:color="auto"/>
        <w:shd w:val="clear" w:color="auto" w:fill="auto"/>
        <w:vertAlign w:val="baseline"/>
      </w:rPr>
    </w:lvl>
    <w:lvl w:ilvl="6" w:tplc="3F340606">
      <w:start w:val="1"/>
      <w:numFmt w:val="bullet"/>
      <w:lvlText w:val="•"/>
      <w:lvlJc w:val="left"/>
      <w:pPr>
        <w:ind w:left="4680"/>
      </w:pPr>
      <w:rPr>
        <w:rFonts w:ascii="Times New Roman" w:eastAsia="Times New Roman" w:hAnsi="Times New Roman" w:cs="Times New Roman"/>
        <w:b w:val="0"/>
        <w:i w:val="0"/>
        <w:strike w:val="0"/>
        <w:dstrike w:val="0"/>
        <w:color w:val="0000A0"/>
        <w:sz w:val="24"/>
        <w:szCs w:val="24"/>
        <w:u w:val="none" w:color="000000"/>
        <w:bdr w:val="none" w:sz="0" w:space="0" w:color="auto"/>
        <w:shd w:val="clear" w:color="auto" w:fill="auto"/>
        <w:vertAlign w:val="baseline"/>
      </w:rPr>
    </w:lvl>
    <w:lvl w:ilvl="7" w:tplc="7EA86C2E">
      <w:start w:val="1"/>
      <w:numFmt w:val="bullet"/>
      <w:lvlText w:val="o"/>
      <w:lvlJc w:val="left"/>
      <w:pPr>
        <w:ind w:left="5400"/>
      </w:pPr>
      <w:rPr>
        <w:rFonts w:ascii="Times New Roman" w:eastAsia="Times New Roman" w:hAnsi="Times New Roman" w:cs="Times New Roman"/>
        <w:b w:val="0"/>
        <w:i w:val="0"/>
        <w:strike w:val="0"/>
        <w:dstrike w:val="0"/>
        <w:color w:val="0000A0"/>
        <w:sz w:val="24"/>
        <w:szCs w:val="24"/>
        <w:u w:val="none" w:color="000000"/>
        <w:bdr w:val="none" w:sz="0" w:space="0" w:color="auto"/>
        <w:shd w:val="clear" w:color="auto" w:fill="auto"/>
        <w:vertAlign w:val="baseline"/>
      </w:rPr>
    </w:lvl>
    <w:lvl w:ilvl="8" w:tplc="A5FAEEDA">
      <w:start w:val="1"/>
      <w:numFmt w:val="bullet"/>
      <w:lvlText w:val="▪"/>
      <w:lvlJc w:val="left"/>
      <w:pPr>
        <w:ind w:left="6120"/>
      </w:pPr>
      <w:rPr>
        <w:rFonts w:ascii="Times New Roman" w:eastAsia="Times New Roman" w:hAnsi="Times New Roman" w:cs="Times New Roman"/>
        <w:b w:val="0"/>
        <w:i w:val="0"/>
        <w:strike w:val="0"/>
        <w:dstrike w:val="0"/>
        <w:color w:val="0000A0"/>
        <w:sz w:val="24"/>
        <w:szCs w:val="24"/>
        <w:u w:val="none" w:color="000000"/>
        <w:bdr w:val="none" w:sz="0" w:space="0" w:color="auto"/>
        <w:shd w:val="clear" w:color="auto" w:fill="auto"/>
        <w:vertAlign w:val="baseline"/>
      </w:rPr>
    </w:lvl>
  </w:abstractNum>
  <w:abstractNum w:abstractNumId="9" w15:restartNumberingAfterBreak="0">
    <w:nsid w:val="4FB641F2"/>
    <w:multiLevelType w:val="hybridMultilevel"/>
    <w:tmpl w:val="BCB27028"/>
    <w:lvl w:ilvl="0" w:tplc="3B54574E">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0" w15:restartNumberingAfterBreak="0">
    <w:nsid w:val="600E410C"/>
    <w:multiLevelType w:val="hybridMultilevel"/>
    <w:tmpl w:val="3CE200B2"/>
    <w:lvl w:ilvl="0" w:tplc="F3F4725C">
      <w:start w:val="1"/>
      <w:numFmt w:val="bullet"/>
      <w:lvlText w:val="-"/>
      <w:lvlJc w:val="left"/>
      <w:pPr>
        <w:ind w:left="116"/>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1" w:tplc="CC12800E">
      <w:start w:val="1"/>
      <w:numFmt w:val="bullet"/>
      <w:lvlText w:val="o"/>
      <w:lvlJc w:val="left"/>
      <w:pPr>
        <w:ind w:left="108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2" w:tplc="12D27ED8">
      <w:start w:val="1"/>
      <w:numFmt w:val="bullet"/>
      <w:lvlText w:val="▪"/>
      <w:lvlJc w:val="left"/>
      <w:pPr>
        <w:ind w:left="180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3" w:tplc="87900B1C">
      <w:start w:val="1"/>
      <w:numFmt w:val="bullet"/>
      <w:lvlText w:val="•"/>
      <w:lvlJc w:val="left"/>
      <w:pPr>
        <w:ind w:left="252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4" w:tplc="98FA1340">
      <w:start w:val="1"/>
      <w:numFmt w:val="bullet"/>
      <w:lvlText w:val="o"/>
      <w:lvlJc w:val="left"/>
      <w:pPr>
        <w:ind w:left="324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5" w:tplc="F0D4AF74">
      <w:start w:val="1"/>
      <w:numFmt w:val="bullet"/>
      <w:lvlText w:val="▪"/>
      <w:lvlJc w:val="left"/>
      <w:pPr>
        <w:ind w:left="396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6" w:tplc="9AF2AC7A">
      <w:start w:val="1"/>
      <w:numFmt w:val="bullet"/>
      <w:lvlText w:val="•"/>
      <w:lvlJc w:val="left"/>
      <w:pPr>
        <w:ind w:left="468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7" w:tplc="646AC610">
      <w:start w:val="1"/>
      <w:numFmt w:val="bullet"/>
      <w:lvlText w:val="o"/>
      <w:lvlJc w:val="left"/>
      <w:pPr>
        <w:ind w:left="540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8" w:tplc="EB7EF52C">
      <w:start w:val="1"/>
      <w:numFmt w:val="bullet"/>
      <w:lvlText w:val="▪"/>
      <w:lvlJc w:val="left"/>
      <w:pPr>
        <w:ind w:left="612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abstractNum>
  <w:abstractNum w:abstractNumId="11" w15:restartNumberingAfterBreak="0">
    <w:nsid w:val="6B3111D9"/>
    <w:multiLevelType w:val="hybridMultilevel"/>
    <w:tmpl w:val="EDA21BD6"/>
    <w:lvl w:ilvl="0" w:tplc="4060F960">
      <w:start w:val="1"/>
      <w:numFmt w:val="bullet"/>
      <w:lvlText w:val="-"/>
      <w:lvlJc w:val="left"/>
      <w:pPr>
        <w:ind w:left="116"/>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1" w:tplc="80802E2C">
      <w:start w:val="1"/>
      <w:numFmt w:val="bullet"/>
      <w:lvlText w:val="o"/>
      <w:lvlJc w:val="left"/>
      <w:pPr>
        <w:ind w:left="108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2" w:tplc="9E6077B0">
      <w:start w:val="1"/>
      <w:numFmt w:val="bullet"/>
      <w:lvlText w:val="▪"/>
      <w:lvlJc w:val="left"/>
      <w:pPr>
        <w:ind w:left="180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3" w:tplc="0E44C074">
      <w:start w:val="1"/>
      <w:numFmt w:val="bullet"/>
      <w:lvlText w:val="•"/>
      <w:lvlJc w:val="left"/>
      <w:pPr>
        <w:ind w:left="252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4" w:tplc="ABEAB980">
      <w:start w:val="1"/>
      <w:numFmt w:val="bullet"/>
      <w:lvlText w:val="o"/>
      <w:lvlJc w:val="left"/>
      <w:pPr>
        <w:ind w:left="324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5" w:tplc="1C2C3F40">
      <w:start w:val="1"/>
      <w:numFmt w:val="bullet"/>
      <w:lvlText w:val="▪"/>
      <w:lvlJc w:val="left"/>
      <w:pPr>
        <w:ind w:left="396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6" w:tplc="E0140C7A">
      <w:start w:val="1"/>
      <w:numFmt w:val="bullet"/>
      <w:lvlText w:val="•"/>
      <w:lvlJc w:val="left"/>
      <w:pPr>
        <w:ind w:left="468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7" w:tplc="105AC5F2">
      <w:start w:val="1"/>
      <w:numFmt w:val="bullet"/>
      <w:lvlText w:val="o"/>
      <w:lvlJc w:val="left"/>
      <w:pPr>
        <w:ind w:left="540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lvl w:ilvl="8" w:tplc="5C12A02E">
      <w:start w:val="1"/>
      <w:numFmt w:val="bullet"/>
      <w:lvlText w:val="▪"/>
      <w:lvlJc w:val="left"/>
      <w:pPr>
        <w:ind w:left="6120"/>
      </w:pPr>
      <w:rPr>
        <w:rFonts w:ascii="Arial" w:eastAsia="Arial" w:hAnsi="Arial" w:cs="Arial"/>
        <w:b w:val="0"/>
        <w:i w:val="0"/>
        <w:strike w:val="0"/>
        <w:dstrike w:val="0"/>
        <w:color w:val="0000A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8"/>
  </w:num>
  <w:num w:numId="4">
    <w:abstractNumId w:val="11"/>
  </w:num>
  <w:num w:numId="5">
    <w:abstractNumId w:val="7"/>
  </w:num>
  <w:num w:numId="6">
    <w:abstractNumId w:val="10"/>
  </w:num>
  <w:num w:numId="7">
    <w:abstractNumId w:val="1"/>
  </w:num>
  <w:num w:numId="8">
    <w:abstractNumId w:val="6"/>
  </w:num>
  <w:num w:numId="9">
    <w:abstractNumId w:val="0"/>
  </w:num>
  <w:num w:numId="10">
    <w:abstractNumId w:val="2"/>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0F"/>
    <w:rsid w:val="003C602D"/>
    <w:rsid w:val="003E102A"/>
    <w:rsid w:val="00455E69"/>
    <w:rsid w:val="00481650"/>
    <w:rsid w:val="00500DC0"/>
    <w:rsid w:val="0062087B"/>
    <w:rsid w:val="0085287E"/>
    <w:rsid w:val="009A631D"/>
    <w:rsid w:val="009C0C62"/>
    <w:rsid w:val="00A31F5F"/>
    <w:rsid w:val="00AA4E76"/>
    <w:rsid w:val="00AA5A0F"/>
    <w:rsid w:val="00AE040F"/>
    <w:rsid w:val="00D75B5B"/>
    <w:rsid w:val="00DF7383"/>
    <w:rsid w:val="00EB28D8"/>
    <w:rsid w:val="00FE4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E18E4-A532-4E68-A7EC-436D4EE3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67" w:lineRule="auto"/>
      <w:ind w:left="10" w:right="16" w:hanging="10"/>
      <w:jc w:val="both"/>
    </w:pPr>
    <w:rPr>
      <w:rFonts w:ascii="Times New Roman" w:eastAsia="Times New Roman" w:hAnsi="Times New Roman" w:cs="Times New Roman"/>
      <w:color w:val="0000A0"/>
      <w:sz w:val="24"/>
    </w:rPr>
  </w:style>
  <w:style w:type="paragraph" w:styleId="1">
    <w:name w:val="heading 1"/>
    <w:next w:val="a"/>
    <w:link w:val="10"/>
    <w:uiPriority w:val="9"/>
    <w:unhideWhenUsed/>
    <w:qFormat/>
    <w:pPr>
      <w:keepNext/>
      <w:keepLines/>
      <w:spacing w:after="12" w:line="270" w:lineRule="auto"/>
      <w:ind w:left="10" w:right="7" w:hanging="10"/>
      <w:jc w:val="center"/>
      <w:outlineLvl w:val="0"/>
    </w:pPr>
    <w:rPr>
      <w:rFonts w:ascii="Times New Roman" w:eastAsia="Times New Roman" w:hAnsi="Times New Roman" w:cs="Times New Roman"/>
      <w:b/>
      <w:color w:val="FF0000"/>
      <w:sz w:val="24"/>
    </w:rPr>
  </w:style>
  <w:style w:type="paragraph" w:styleId="2">
    <w:name w:val="heading 2"/>
    <w:next w:val="a"/>
    <w:link w:val="20"/>
    <w:uiPriority w:val="9"/>
    <w:unhideWhenUsed/>
    <w:qFormat/>
    <w:pPr>
      <w:keepNext/>
      <w:keepLines/>
      <w:spacing w:after="3"/>
      <w:ind w:left="10" w:right="7" w:hanging="10"/>
      <w:jc w:val="center"/>
      <w:outlineLvl w:val="1"/>
    </w:pPr>
    <w:rPr>
      <w:rFonts w:ascii="Times New Roman" w:eastAsia="Times New Roman" w:hAnsi="Times New Roman" w:cs="Times New Roman"/>
      <w:b/>
      <w:color w:val="0000A0"/>
      <w:sz w:val="24"/>
    </w:rPr>
  </w:style>
  <w:style w:type="paragraph" w:styleId="3">
    <w:name w:val="heading 3"/>
    <w:next w:val="a"/>
    <w:link w:val="30"/>
    <w:uiPriority w:val="9"/>
    <w:unhideWhenUsed/>
    <w:qFormat/>
    <w:pPr>
      <w:keepNext/>
      <w:keepLines/>
      <w:spacing w:after="12" w:line="270" w:lineRule="auto"/>
      <w:ind w:left="10" w:right="7" w:hanging="10"/>
      <w:jc w:val="center"/>
      <w:outlineLvl w:val="2"/>
    </w:pPr>
    <w:rPr>
      <w:rFonts w:ascii="Times New Roman" w:eastAsia="Times New Roman" w:hAnsi="Times New Roman" w:cs="Times New Roman"/>
      <w:b/>
      <w:color w:val="FF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A0"/>
      <w:sz w:val="24"/>
    </w:rPr>
  </w:style>
  <w:style w:type="character" w:customStyle="1" w:styleId="10">
    <w:name w:val="Заголовок 1 Знак"/>
    <w:link w:val="1"/>
    <w:rPr>
      <w:rFonts w:ascii="Times New Roman" w:eastAsia="Times New Roman" w:hAnsi="Times New Roman" w:cs="Times New Roman"/>
      <w:b/>
      <w:color w:val="FF0000"/>
      <w:sz w:val="24"/>
    </w:rPr>
  </w:style>
  <w:style w:type="character" w:customStyle="1" w:styleId="30">
    <w:name w:val="Заголовок 3 Знак"/>
    <w:link w:val="3"/>
    <w:rPr>
      <w:rFonts w:ascii="Times New Roman" w:eastAsia="Times New Roman" w:hAnsi="Times New Roman" w:cs="Times New Roman"/>
      <w:b/>
      <w:color w:val="FF0000"/>
      <w:sz w:val="24"/>
    </w:rPr>
  </w:style>
  <w:style w:type="paragraph" w:styleId="a3">
    <w:name w:val="List Paragraph"/>
    <w:basedOn w:val="a"/>
    <w:uiPriority w:val="34"/>
    <w:qFormat/>
    <w:rsid w:val="00AA4E76"/>
    <w:pPr>
      <w:ind w:left="720"/>
      <w:contextualSpacing/>
    </w:pPr>
  </w:style>
  <w:style w:type="paragraph" w:styleId="a4">
    <w:name w:val="Normal (Web)"/>
    <w:basedOn w:val="a"/>
    <w:uiPriority w:val="99"/>
    <w:semiHidden/>
    <w:unhideWhenUsed/>
    <w:rsid w:val="0062087B"/>
    <w:pPr>
      <w:spacing w:before="100" w:beforeAutospacing="1" w:after="100" w:afterAutospacing="1" w:line="240" w:lineRule="auto"/>
      <w:ind w:left="0" w:right="0" w:firstLine="0"/>
      <w:jc w:val="left"/>
    </w:pPr>
    <w:rPr>
      <w:color w:val="auto"/>
      <w:szCs w:val="24"/>
    </w:rPr>
  </w:style>
  <w:style w:type="paragraph" w:styleId="a5">
    <w:name w:val="Balloon Text"/>
    <w:basedOn w:val="a"/>
    <w:link w:val="a6"/>
    <w:uiPriority w:val="99"/>
    <w:semiHidden/>
    <w:unhideWhenUsed/>
    <w:rsid w:val="006208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2087B"/>
    <w:rPr>
      <w:rFonts w:ascii="Segoe UI" w:eastAsia="Times New Roman" w:hAnsi="Segoe UI" w:cs="Segoe UI"/>
      <w:color w:val="0000A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22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Правила поведения в чрезвычайных ситуациях природного характера</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поведения в чрезвычайных ситуациях природного характера</dc:title>
  <dc:subject/>
  <dc:creator>812-5</dc:creator>
  <cp:keywords/>
  <cp:lastModifiedBy>Alena</cp:lastModifiedBy>
  <cp:revision>2</cp:revision>
  <cp:lastPrinted>2017-07-12T07:38:00Z</cp:lastPrinted>
  <dcterms:created xsi:type="dcterms:W3CDTF">2019-05-15T11:35:00Z</dcterms:created>
  <dcterms:modified xsi:type="dcterms:W3CDTF">2019-05-15T11:35:00Z</dcterms:modified>
</cp:coreProperties>
</file>